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3D" w:rsidRDefault="00DF103D" w:rsidP="00514D0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BA0808A" wp14:editId="07701204">
            <wp:simplePos x="0" y="0"/>
            <wp:positionH relativeFrom="column">
              <wp:posOffset>4857750</wp:posOffset>
            </wp:positionH>
            <wp:positionV relativeFrom="paragraph">
              <wp:posOffset>-828675</wp:posOffset>
            </wp:positionV>
            <wp:extent cx="1691640" cy="1052195"/>
            <wp:effectExtent l="0" t="0" r="3810" b="0"/>
            <wp:wrapNone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D0C">
        <w:rPr>
          <w:noProof/>
          <w:lang w:eastAsia="en-GB"/>
        </w:rPr>
        <w:drawing>
          <wp:inline distT="0" distB="0" distL="0" distR="0" wp14:anchorId="44EF0A21" wp14:editId="2164759F">
            <wp:extent cx="3009126" cy="1474470"/>
            <wp:effectExtent l="0" t="0" r="1270" b="0"/>
            <wp:docPr id="2" name="Picture 2" descr="C:\Users\Emma\Documents\Insulin Pump Network UK\ipnuk-tag-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\Documents\Insulin Pump Network UK\ipnuk-tag-d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088" cy="148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3D" w:rsidRPr="00DF103D" w:rsidRDefault="00DF103D" w:rsidP="00DF103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F103D">
        <w:rPr>
          <w:rFonts w:ascii="Arial" w:hAnsi="Arial" w:cs="Arial"/>
          <w:b/>
          <w:sz w:val="28"/>
          <w:szCs w:val="28"/>
        </w:rPr>
        <w:t>Thursday 21</w:t>
      </w:r>
      <w:r w:rsidRPr="00DF103D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DF103D">
        <w:rPr>
          <w:rFonts w:ascii="Arial" w:hAnsi="Arial" w:cs="Arial"/>
          <w:b/>
          <w:sz w:val="28"/>
          <w:szCs w:val="28"/>
        </w:rPr>
        <w:t xml:space="preserve"> April 2016</w:t>
      </w:r>
    </w:p>
    <w:p w:rsidR="008A6F4C" w:rsidRPr="00DF103D" w:rsidRDefault="003C26AC" w:rsidP="00232D2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C26AC">
        <w:rPr>
          <w:rFonts w:ascii="Arial" w:hAnsi="Arial" w:cs="Arial"/>
          <w:b/>
          <w:sz w:val="28"/>
          <w:szCs w:val="28"/>
        </w:rPr>
        <w:t xml:space="preserve">Renaissance Hotel, </w:t>
      </w:r>
      <w:r w:rsidR="00DF103D" w:rsidRPr="00DF103D">
        <w:rPr>
          <w:rFonts w:ascii="Arial" w:hAnsi="Arial" w:cs="Arial"/>
          <w:b/>
          <w:sz w:val="28"/>
          <w:szCs w:val="28"/>
        </w:rPr>
        <w:t>Manchester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3702"/>
        <w:gridCol w:w="4111"/>
      </w:tblGrid>
      <w:tr w:rsidR="00BF0C6A" w:rsidRPr="00514D0C" w:rsidTr="002B4A2F">
        <w:tc>
          <w:tcPr>
            <w:tcW w:w="1543" w:type="dxa"/>
          </w:tcPr>
          <w:p w:rsidR="00BF0C6A" w:rsidRPr="00514D0C" w:rsidRDefault="00BF0C6A" w:rsidP="00232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0900-</w:t>
            </w:r>
            <w:r w:rsidRPr="00514D0C">
              <w:rPr>
                <w:rFonts w:ascii="Arial" w:hAnsi="Arial" w:cs="Arial"/>
              </w:rPr>
              <w:t>0930</w:t>
            </w:r>
          </w:p>
        </w:tc>
        <w:tc>
          <w:tcPr>
            <w:tcW w:w="3702" w:type="dxa"/>
          </w:tcPr>
          <w:p w:rsidR="00BF0C6A" w:rsidRPr="00BF0C6A" w:rsidRDefault="00BF0C6A" w:rsidP="00232D2E">
            <w:pPr>
              <w:rPr>
                <w:rFonts w:ascii="Arial" w:hAnsi="Arial" w:cs="Arial"/>
                <w:b/>
              </w:rPr>
            </w:pPr>
            <w:r w:rsidRPr="00BF0C6A">
              <w:rPr>
                <w:rFonts w:ascii="Arial" w:hAnsi="Arial" w:cs="Arial"/>
                <w:b/>
              </w:rPr>
              <w:t>Registration and coffee</w:t>
            </w:r>
          </w:p>
        </w:tc>
        <w:tc>
          <w:tcPr>
            <w:tcW w:w="4111" w:type="dxa"/>
          </w:tcPr>
          <w:p w:rsidR="00BF0C6A" w:rsidRPr="00514D0C" w:rsidRDefault="00BF0C6A" w:rsidP="00232D2E">
            <w:pPr>
              <w:rPr>
                <w:rFonts w:ascii="Arial" w:hAnsi="Arial" w:cs="Arial"/>
              </w:rPr>
            </w:pPr>
          </w:p>
        </w:tc>
      </w:tr>
      <w:tr w:rsidR="00BF0C6A" w:rsidRPr="00514D0C" w:rsidTr="002B4A2F">
        <w:tc>
          <w:tcPr>
            <w:tcW w:w="1543" w:type="dxa"/>
          </w:tcPr>
          <w:p w:rsidR="00DF103D" w:rsidRDefault="00DF103D" w:rsidP="00232D2E">
            <w:pPr>
              <w:rPr>
                <w:rFonts w:ascii="Arial" w:hAnsi="Arial" w:cs="Arial"/>
              </w:rPr>
            </w:pPr>
          </w:p>
          <w:p w:rsidR="00BF0C6A" w:rsidRPr="00514D0C" w:rsidRDefault="00BF0C6A" w:rsidP="00232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0930-</w:t>
            </w:r>
            <w:r w:rsidRPr="00514D0C">
              <w:rPr>
                <w:rFonts w:ascii="Arial" w:hAnsi="Arial" w:cs="Arial"/>
              </w:rPr>
              <w:t>0945</w:t>
            </w:r>
          </w:p>
        </w:tc>
        <w:tc>
          <w:tcPr>
            <w:tcW w:w="3702" w:type="dxa"/>
          </w:tcPr>
          <w:p w:rsidR="00DF103D" w:rsidRDefault="00DF103D" w:rsidP="00232D2E">
            <w:pPr>
              <w:rPr>
                <w:rFonts w:ascii="Arial" w:hAnsi="Arial" w:cs="Arial"/>
                <w:b/>
              </w:rPr>
            </w:pPr>
          </w:p>
          <w:p w:rsidR="00BF0C6A" w:rsidRPr="00BF0C6A" w:rsidRDefault="00BF0C6A" w:rsidP="00232D2E">
            <w:pPr>
              <w:rPr>
                <w:rFonts w:ascii="Arial" w:hAnsi="Arial" w:cs="Arial"/>
                <w:b/>
              </w:rPr>
            </w:pPr>
            <w:r w:rsidRPr="00BF0C6A">
              <w:rPr>
                <w:rFonts w:ascii="Arial" w:hAnsi="Arial" w:cs="Arial"/>
                <w:b/>
              </w:rPr>
              <w:t>Welcome</w:t>
            </w:r>
          </w:p>
        </w:tc>
        <w:tc>
          <w:tcPr>
            <w:tcW w:w="4111" w:type="dxa"/>
          </w:tcPr>
          <w:p w:rsidR="00DF103D" w:rsidRDefault="00DF103D" w:rsidP="00232D2E">
            <w:pPr>
              <w:ind w:right="-250"/>
              <w:rPr>
                <w:rFonts w:ascii="Arial" w:hAnsi="Arial" w:cs="Arial"/>
              </w:rPr>
            </w:pPr>
          </w:p>
          <w:p w:rsidR="00BF0C6A" w:rsidRPr="00514D0C" w:rsidRDefault="00BF0C6A" w:rsidP="00A632D0">
            <w:pPr>
              <w:ind w:right="-250"/>
              <w:rPr>
                <w:rFonts w:ascii="Arial" w:hAnsi="Arial" w:cs="Arial"/>
              </w:rPr>
            </w:pPr>
            <w:r w:rsidRPr="00514D0C">
              <w:rPr>
                <w:rFonts w:ascii="Arial" w:hAnsi="Arial" w:cs="Arial"/>
              </w:rPr>
              <w:t>Rob Gregory</w:t>
            </w:r>
            <w:r>
              <w:rPr>
                <w:rFonts w:ascii="Arial" w:hAnsi="Arial" w:cs="Arial"/>
              </w:rPr>
              <w:t>,</w:t>
            </w:r>
            <w:r w:rsidRPr="00514D0C">
              <w:rPr>
                <w:rFonts w:ascii="Arial" w:hAnsi="Arial" w:cs="Arial"/>
              </w:rPr>
              <w:t xml:space="preserve"> Emma Wilmot</w:t>
            </w:r>
          </w:p>
        </w:tc>
      </w:tr>
      <w:tr w:rsidR="00BF0C6A" w:rsidRPr="00514D0C" w:rsidTr="002B4A2F">
        <w:tc>
          <w:tcPr>
            <w:tcW w:w="1543" w:type="dxa"/>
          </w:tcPr>
          <w:p w:rsidR="00DF103D" w:rsidRDefault="00DF103D" w:rsidP="00232D2E">
            <w:pPr>
              <w:rPr>
                <w:rFonts w:ascii="Arial" w:hAnsi="Arial" w:cs="Arial"/>
              </w:rPr>
            </w:pPr>
          </w:p>
          <w:p w:rsidR="00BF0C6A" w:rsidRPr="00514D0C" w:rsidRDefault="00BF0C6A" w:rsidP="00232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0945-</w:t>
            </w:r>
            <w:r w:rsidRPr="00514D0C">
              <w:rPr>
                <w:rFonts w:ascii="Arial" w:hAnsi="Arial" w:cs="Arial"/>
              </w:rPr>
              <w:t>1015</w:t>
            </w:r>
          </w:p>
        </w:tc>
        <w:tc>
          <w:tcPr>
            <w:tcW w:w="3702" w:type="dxa"/>
          </w:tcPr>
          <w:p w:rsidR="00DF103D" w:rsidRDefault="00DF103D" w:rsidP="00232D2E">
            <w:pPr>
              <w:rPr>
                <w:rFonts w:ascii="Arial" w:hAnsi="Arial" w:cs="Arial"/>
                <w:b/>
              </w:rPr>
            </w:pPr>
          </w:p>
          <w:p w:rsidR="00BF0C6A" w:rsidRPr="00BF0C6A" w:rsidRDefault="00BF0C6A" w:rsidP="00232D2E">
            <w:pPr>
              <w:rPr>
                <w:rFonts w:ascii="Arial" w:hAnsi="Arial" w:cs="Arial"/>
                <w:b/>
              </w:rPr>
            </w:pPr>
            <w:r w:rsidRPr="00BF0C6A">
              <w:rPr>
                <w:rFonts w:ascii="Arial" w:hAnsi="Arial" w:cs="Arial"/>
                <w:b/>
              </w:rPr>
              <w:t>Technology Update</w:t>
            </w:r>
          </w:p>
        </w:tc>
        <w:tc>
          <w:tcPr>
            <w:tcW w:w="4111" w:type="dxa"/>
          </w:tcPr>
          <w:p w:rsidR="00DF103D" w:rsidRDefault="00DF103D" w:rsidP="00232D2E">
            <w:pPr>
              <w:rPr>
                <w:rFonts w:ascii="Arial" w:hAnsi="Arial" w:cs="Arial"/>
              </w:rPr>
            </w:pPr>
          </w:p>
          <w:p w:rsidR="00BF0C6A" w:rsidRPr="00514D0C" w:rsidRDefault="00BF0C6A" w:rsidP="00232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Hammond</w:t>
            </w:r>
          </w:p>
        </w:tc>
      </w:tr>
      <w:tr w:rsidR="00BF0C6A" w:rsidRPr="00514D0C" w:rsidTr="002B4A2F">
        <w:tc>
          <w:tcPr>
            <w:tcW w:w="1543" w:type="dxa"/>
          </w:tcPr>
          <w:p w:rsidR="00DF103D" w:rsidRDefault="00DF103D" w:rsidP="00232D2E">
            <w:pPr>
              <w:rPr>
                <w:rFonts w:ascii="Arial" w:hAnsi="Arial" w:cs="Arial"/>
              </w:rPr>
            </w:pPr>
          </w:p>
          <w:p w:rsidR="00BF0C6A" w:rsidRPr="00514D0C" w:rsidRDefault="00BF0C6A" w:rsidP="00232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1015-</w:t>
            </w:r>
            <w:r w:rsidRPr="00514D0C">
              <w:rPr>
                <w:rFonts w:ascii="Arial" w:hAnsi="Arial" w:cs="Arial"/>
              </w:rPr>
              <w:t>1040</w:t>
            </w:r>
          </w:p>
        </w:tc>
        <w:tc>
          <w:tcPr>
            <w:tcW w:w="3702" w:type="dxa"/>
          </w:tcPr>
          <w:p w:rsidR="00DF103D" w:rsidRDefault="00DF103D" w:rsidP="00232D2E">
            <w:pPr>
              <w:rPr>
                <w:rFonts w:ascii="Arial" w:hAnsi="Arial" w:cs="Arial"/>
                <w:b/>
              </w:rPr>
            </w:pPr>
          </w:p>
          <w:p w:rsidR="00BF0C6A" w:rsidRPr="00BF0C6A" w:rsidRDefault="00BF0C6A" w:rsidP="00232D2E">
            <w:pPr>
              <w:rPr>
                <w:rFonts w:ascii="Arial" w:hAnsi="Arial" w:cs="Arial"/>
                <w:b/>
              </w:rPr>
            </w:pPr>
            <w:r w:rsidRPr="00BF0C6A">
              <w:rPr>
                <w:rFonts w:ascii="Arial" w:hAnsi="Arial" w:cs="Arial"/>
                <w:b/>
              </w:rPr>
              <w:t>National Pump Audit</w:t>
            </w:r>
          </w:p>
        </w:tc>
        <w:tc>
          <w:tcPr>
            <w:tcW w:w="4111" w:type="dxa"/>
          </w:tcPr>
          <w:p w:rsidR="00DF103D" w:rsidRDefault="00DF103D" w:rsidP="00232D2E">
            <w:pPr>
              <w:rPr>
                <w:rFonts w:ascii="Arial" w:hAnsi="Arial" w:cs="Arial"/>
              </w:rPr>
            </w:pPr>
          </w:p>
          <w:p w:rsidR="00BF0C6A" w:rsidRPr="00514D0C" w:rsidRDefault="00032E5D" w:rsidP="00232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 Weston</w:t>
            </w:r>
          </w:p>
        </w:tc>
      </w:tr>
      <w:tr w:rsidR="00BF0C6A" w:rsidRPr="00BF0C6A" w:rsidTr="00DF103D">
        <w:trPr>
          <w:gridAfter w:val="2"/>
          <w:wAfter w:w="7813" w:type="dxa"/>
        </w:trPr>
        <w:tc>
          <w:tcPr>
            <w:tcW w:w="1543" w:type="dxa"/>
          </w:tcPr>
          <w:p w:rsidR="00DF103D" w:rsidRDefault="00DF103D" w:rsidP="00232D2E">
            <w:pPr>
              <w:rPr>
                <w:rFonts w:ascii="Arial" w:hAnsi="Arial" w:cs="Arial"/>
                <w:b/>
              </w:rPr>
            </w:pPr>
          </w:p>
          <w:p w:rsidR="00BF0C6A" w:rsidRPr="00032E5D" w:rsidRDefault="00032E5D" w:rsidP="00232D2E">
            <w:pPr>
              <w:rPr>
                <w:rFonts w:ascii="Arial" w:hAnsi="Arial" w:cs="Arial"/>
                <w:b/>
              </w:rPr>
            </w:pPr>
            <w:r w:rsidRPr="00032E5D">
              <w:rPr>
                <w:rFonts w:ascii="Arial" w:hAnsi="Arial" w:cs="Arial"/>
                <w:b/>
              </w:rPr>
              <w:t>B</w:t>
            </w:r>
            <w:r w:rsidR="00232D2E">
              <w:rPr>
                <w:rFonts w:ascii="Arial" w:hAnsi="Arial" w:cs="Arial"/>
                <w:b/>
              </w:rPr>
              <w:t>reak</w:t>
            </w:r>
          </w:p>
        </w:tc>
      </w:tr>
      <w:tr w:rsidR="00BF0C6A" w:rsidRPr="00514D0C" w:rsidTr="002B4A2F">
        <w:tc>
          <w:tcPr>
            <w:tcW w:w="1543" w:type="dxa"/>
          </w:tcPr>
          <w:p w:rsidR="00DF103D" w:rsidRDefault="00DF103D" w:rsidP="00232D2E">
            <w:pPr>
              <w:rPr>
                <w:rFonts w:ascii="Arial" w:hAnsi="Arial" w:cs="Arial"/>
              </w:rPr>
            </w:pPr>
          </w:p>
          <w:p w:rsidR="00BF0C6A" w:rsidRPr="00514D0C" w:rsidRDefault="00BF0C6A" w:rsidP="00232D2E">
            <w:pPr>
              <w:rPr>
                <w:rFonts w:ascii="Arial" w:hAnsi="Arial" w:cs="Arial"/>
              </w:rPr>
            </w:pPr>
            <w:r w:rsidRPr="00514D0C">
              <w:rPr>
                <w:rFonts w:ascii="Arial" w:hAnsi="Arial" w:cs="Arial"/>
              </w:rPr>
              <w:t>1110</w:t>
            </w:r>
            <w:r>
              <w:rPr>
                <w:rFonts w:ascii="Arial" w:hAnsi="Arial" w:cs="Arial"/>
              </w:rPr>
              <w:t>-</w:t>
            </w:r>
            <w:r w:rsidRPr="00514D0C">
              <w:rPr>
                <w:rFonts w:ascii="Arial" w:hAnsi="Arial" w:cs="Arial"/>
              </w:rPr>
              <w:t>1140</w:t>
            </w:r>
          </w:p>
          <w:p w:rsidR="00BF0C6A" w:rsidRPr="00514D0C" w:rsidRDefault="00BF0C6A" w:rsidP="00232D2E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</w:tcPr>
          <w:p w:rsidR="00DF103D" w:rsidRDefault="00DF103D" w:rsidP="00232D2E">
            <w:pPr>
              <w:rPr>
                <w:rFonts w:ascii="Arial" w:hAnsi="Arial" w:cs="Arial"/>
                <w:b/>
              </w:rPr>
            </w:pPr>
          </w:p>
          <w:p w:rsidR="00BF0C6A" w:rsidRPr="00BF0C6A" w:rsidRDefault="00BF0C6A" w:rsidP="00232D2E">
            <w:pPr>
              <w:rPr>
                <w:rFonts w:ascii="Arial" w:hAnsi="Arial" w:cs="Arial"/>
                <w:b/>
              </w:rPr>
            </w:pPr>
            <w:r w:rsidRPr="00BF0C6A">
              <w:rPr>
                <w:rFonts w:ascii="Arial" w:hAnsi="Arial" w:cs="Arial"/>
                <w:b/>
              </w:rPr>
              <w:t>R</w:t>
            </w:r>
            <w:r w:rsidR="001D72B8">
              <w:rPr>
                <w:rFonts w:ascii="Arial" w:hAnsi="Arial" w:cs="Arial"/>
                <w:b/>
              </w:rPr>
              <w:t>EPOSE</w:t>
            </w:r>
            <w:r w:rsidRPr="00BF0C6A">
              <w:rPr>
                <w:rFonts w:ascii="Arial" w:hAnsi="Arial" w:cs="Arial"/>
                <w:b/>
              </w:rPr>
              <w:t xml:space="preserve"> Outcomes</w:t>
            </w:r>
          </w:p>
        </w:tc>
        <w:tc>
          <w:tcPr>
            <w:tcW w:w="4111" w:type="dxa"/>
          </w:tcPr>
          <w:p w:rsidR="00DF103D" w:rsidRDefault="00DF103D" w:rsidP="00232D2E">
            <w:pPr>
              <w:rPr>
                <w:rFonts w:ascii="Arial" w:hAnsi="Arial" w:cs="Arial"/>
              </w:rPr>
            </w:pPr>
          </w:p>
          <w:p w:rsidR="00BF0C6A" w:rsidRPr="00514D0C" w:rsidRDefault="00BF0C6A" w:rsidP="00232D2E">
            <w:pPr>
              <w:rPr>
                <w:rFonts w:ascii="Arial" w:hAnsi="Arial" w:cs="Arial"/>
              </w:rPr>
            </w:pPr>
            <w:r w:rsidRPr="00514D0C">
              <w:rPr>
                <w:rFonts w:ascii="Arial" w:hAnsi="Arial" w:cs="Arial"/>
              </w:rPr>
              <w:t>Jackie Elliott</w:t>
            </w:r>
          </w:p>
        </w:tc>
      </w:tr>
      <w:tr w:rsidR="00BF0C6A" w:rsidRPr="00514D0C" w:rsidTr="002B4A2F">
        <w:tc>
          <w:tcPr>
            <w:tcW w:w="1543" w:type="dxa"/>
          </w:tcPr>
          <w:p w:rsidR="00BF0C6A" w:rsidRPr="00514D0C" w:rsidRDefault="00BF0C6A" w:rsidP="00232D2E">
            <w:pPr>
              <w:rPr>
                <w:rFonts w:ascii="Arial" w:hAnsi="Arial" w:cs="Arial"/>
              </w:rPr>
            </w:pPr>
            <w:r w:rsidRPr="00514D0C">
              <w:rPr>
                <w:rFonts w:ascii="Arial" w:hAnsi="Arial" w:cs="Arial"/>
              </w:rPr>
              <w:t>1140-1210</w:t>
            </w:r>
          </w:p>
        </w:tc>
        <w:tc>
          <w:tcPr>
            <w:tcW w:w="3702" w:type="dxa"/>
          </w:tcPr>
          <w:p w:rsidR="00DF103D" w:rsidRDefault="00BF0C6A" w:rsidP="00232D2E">
            <w:pPr>
              <w:rPr>
                <w:rFonts w:ascii="Arial" w:hAnsi="Arial" w:cs="Arial"/>
                <w:b/>
              </w:rPr>
            </w:pPr>
            <w:r w:rsidRPr="00BF0C6A">
              <w:rPr>
                <w:rFonts w:ascii="Arial" w:hAnsi="Arial" w:cs="Arial"/>
                <w:b/>
              </w:rPr>
              <w:t>Closed loop in pregnancy</w:t>
            </w:r>
          </w:p>
          <w:p w:rsidR="00BF0C6A" w:rsidRPr="00BF0C6A" w:rsidRDefault="00BF0C6A" w:rsidP="00232D2E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BF0C6A" w:rsidRPr="00514D0C" w:rsidRDefault="00BF0C6A" w:rsidP="00845675">
            <w:pPr>
              <w:rPr>
                <w:rFonts w:ascii="Arial" w:hAnsi="Arial" w:cs="Arial"/>
              </w:rPr>
            </w:pPr>
            <w:r w:rsidRPr="00514D0C">
              <w:rPr>
                <w:rFonts w:ascii="Arial" w:hAnsi="Arial" w:cs="Arial"/>
              </w:rPr>
              <w:t>Helen Murphy</w:t>
            </w:r>
            <w:r w:rsidR="00A575F2">
              <w:rPr>
                <w:rFonts w:ascii="Arial" w:hAnsi="Arial" w:cs="Arial"/>
              </w:rPr>
              <w:t xml:space="preserve"> </w:t>
            </w:r>
          </w:p>
        </w:tc>
      </w:tr>
      <w:tr w:rsidR="00BF0C6A" w:rsidRPr="00514D0C" w:rsidTr="002B4A2F">
        <w:tc>
          <w:tcPr>
            <w:tcW w:w="1543" w:type="dxa"/>
          </w:tcPr>
          <w:p w:rsidR="00BF0C6A" w:rsidRPr="00514D0C" w:rsidRDefault="00BF0C6A" w:rsidP="00232D2E">
            <w:pPr>
              <w:rPr>
                <w:rFonts w:ascii="Arial" w:hAnsi="Arial" w:cs="Arial"/>
              </w:rPr>
            </w:pPr>
            <w:r w:rsidRPr="00514D0C">
              <w:rPr>
                <w:rFonts w:ascii="Arial" w:hAnsi="Arial" w:cs="Arial"/>
              </w:rPr>
              <w:t>1210-1240</w:t>
            </w:r>
          </w:p>
        </w:tc>
        <w:tc>
          <w:tcPr>
            <w:tcW w:w="3702" w:type="dxa"/>
          </w:tcPr>
          <w:p w:rsidR="00BF0C6A" w:rsidRPr="00BF0C6A" w:rsidRDefault="00BF0C6A" w:rsidP="00F02C24">
            <w:pPr>
              <w:rPr>
                <w:rFonts w:ascii="Arial" w:hAnsi="Arial" w:cs="Arial"/>
                <w:b/>
              </w:rPr>
            </w:pPr>
            <w:r w:rsidRPr="00BF0C6A">
              <w:rPr>
                <w:rFonts w:ascii="Arial" w:hAnsi="Arial" w:cs="Arial"/>
                <w:b/>
              </w:rPr>
              <w:t xml:space="preserve">How </w:t>
            </w:r>
            <w:r w:rsidR="00F02C24">
              <w:rPr>
                <w:rFonts w:ascii="Arial" w:hAnsi="Arial" w:cs="Arial"/>
                <w:b/>
              </w:rPr>
              <w:t>to use CSII effectively</w:t>
            </w:r>
          </w:p>
        </w:tc>
        <w:tc>
          <w:tcPr>
            <w:tcW w:w="4111" w:type="dxa"/>
          </w:tcPr>
          <w:p w:rsidR="00BF0C6A" w:rsidRPr="00514D0C" w:rsidRDefault="00BF0C6A" w:rsidP="00232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Pickup</w:t>
            </w:r>
          </w:p>
        </w:tc>
      </w:tr>
      <w:tr w:rsidR="00BF0C6A" w:rsidRPr="00BF0C6A" w:rsidTr="00DF103D">
        <w:trPr>
          <w:gridAfter w:val="2"/>
          <w:wAfter w:w="7813" w:type="dxa"/>
        </w:trPr>
        <w:tc>
          <w:tcPr>
            <w:tcW w:w="1543" w:type="dxa"/>
          </w:tcPr>
          <w:p w:rsidR="00F02C24" w:rsidRDefault="00F02C24" w:rsidP="00232D2E">
            <w:pPr>
              <w:rPr>
                <w:rFonts w:ascii="Arial" w:hAnsi="Arial" w:cs="Arial"/>
                <w:b/>
              </w:rPr>
            </w:pPr>
          </w:p>
          <w:p w:rsidR="00BF0C6A" w:rsidRPr="00032E5D" w:rsidRDefault="00032E5D" w:rsidP="00232D2E">
            <w:pPr>
              <w:rPr>
                <w:rFonts w:ascii="Arial" w:hAnsi="Arial" w:cs="Arial"/>
                <w:b/>
              </w:rPr>
            </w:pPr>
            <w:r w:rsidRPr="00032E5D">
              <w:rPr>
                <w:rFonts w:ascii="Arial" w:hAnsi="Arial" w:cs="Arial"/>
                <w:b/>
              </w:rPr>
              <w:t>L</w:t>
            </w:r>
            <w:r w:rsidR="00232D2E">
              <w:rPr>
                <w:rFonts w:ascii="Arial" w:hAnsi="Arial" w:cs="Arial"/>
                <w:b/>
              </w:rPr>
              <w:t>unch</w:t>
            </w:r>
          </w:p>
        </w:tc>
      </w:tr>
      <w:tr w:rsidR="00BF0C6A" w:rsidRPr="00514D0C" w:rsidTr="002B4A2F">
        <w:tc>
          <w:tcPr>
            <w:tcW w:w="1543" w:type="dxa"/>
          </w:tcPr>
          <w:p w:rsidR="00DF103D" w:rsidRDefault="00DF103D" w:rsidP="00232D2E">
            <w:pPr>
              <w:rPr>
                <w:rFonts w:ascii="Arial" w:hAnsi="Arial" w:cs="Arial"/>
              </w:rPr>
            </w:pPr>
          </w:p>
          <w:p w:rsidR="00BF0C6A" w:rsidRPr="00514D0C" w:rsidRDefault="00BF0C6A" w:rsidP="00232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1330-</w:t>
            </w:r>
            <w:r w:rsidRPr="00514D0C">
              <w:rPr>
                <w:rFonts w:ascii="Arial" w:hAnsi="Arial" w:cs="Arial"/>
              </w:rPr>
              <w:t>1415</w:t>
            </w:r>
          </w:p>
          <w:p w:rsidR="00BF0C6A" w:rsidRPr="00514D0C" w:rsidRDefault="00BF0C6A" w:rsidP="00232D2E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</w:tcPr>
          <w:p w:rsidR="00DF103D" w:rsidRDefault="00DF103D" w:rsidP="00232D2E">
            <w:pPr>
              <w:rPr>
                <w:rFonts w:ascii="Arial" w:hAnsi="Arial" w:cs="Arial"/>
                <w:b/>
              </w:rPr>
            </w:pPr>
          </w:p>
          <w:p w:rsidR="00BF0C6A" w:rsidRPr="00DF103D" w:rsidRDefault="00BF0C6A" w:rsidP="00232D2E">
            <w:pPr>
              <w:rPr>
                <w:rFonts w:ascii="Arial" w:hAnsi="Arial" w:cs="Arial"/>
                <w:b/>
              </w:rPr>
            </w:pPr>
            <w:r w:rsidRPr="00DF103D">
              <w:rPr>
                <w:rFonts w:ascii="Arial" w:hAnsi="Arial" w:cs="Arial"/>
                <w:b/>
              </w:rPr>
              <w:t>Workshops</w:t>
            </w:r>
          </w:p>
          <w:p w:rsidR="00BF0C6A" w:rsidRPr="00DF103D" w:rsidRDefault="00BF0C6A" w:rsidP="00232D2E">
            <w:pPr>
              <w:rPr>
                <w:rFonts w:ascii="Arial" w:hAnsi="Arial" w:cs="Arial"/>
              </w:rPr>
            </w:pPr>
            <w:r w:rsidRPr="00DF103D">
              <w:rPr>
                <w:rFonts w:ascii="Arial" w:hAnsi="Arial" w:cs="Arial"/>
              </w:rPr>
              <w:t>Downloads</w:t>
            </w:r>
          </w:p>
          <w:p w:rsidR="00BF0C6A" w:rsidRPr="00DF103D" w:rsidRDefault="00BF0C6A" w:rsidP="00232D2E">
            <w:pPr>
              <w:rPr>
                <w:rFonts w:ascii="Arial" w:hAnsi="Arial" w:cs="Arial"/>
              </w:rPr>
            </w:pPr>
            <w:r w:rsidRPr="00DF103D">
              <w:rPr>
                <w:rFonts w:ascii="Arial" w:hAnsi="Arial" w:cs="Arial"/>
              </w:rPr>
              <w:t>Pregnancy</w:t>
            </w:r>
          </w:p>
          <w:p w:rsidR="00BF0C6A" w:rsidRPr="00DF103D" w:rsidRDefault="00BF0C6A" w:rsidP="00232D2E">
            <w:pPr>
              <w:rPr>
                <w:rFonts w:ascii="Arial" w:hAnsi="Arial" w:cs="Arial"/>
              </w:rPr>
            </w:pPr>
            <w:r w:rsidRPr="00DF103D">
              <w:rPr>
                <w:rFonts w:ascii="Arial" w:hAnsi="Arial" w:cs="Arial"/>
              </w:rPr>
              <w:t>Exercise</w:t>
            </w:r>
          </w:p>
          <w:p w:rsidR="00BF0C6A" w:rsidRPr="00DF103D" w:rsidRDefault="00BF0C6A" w:rsidP="00232D2E">
            <w:pPr>
              <w:rPr>
                <w:rFonts w:ascii="Arial" w:hAnsi="Arial" w:cs="Arial"/>
              </w:rPr>
            </w:pPr>
            <w:r w:rsidRPr="00DF103D">
              <w:rPr>
                <w:rFonts w:ascii="Arial" w:hAnsi="Arial" w:cs="Arial"/>
              </w:rPr>
              <w:t>Psychology</w:t>
            </w:r>
          </w:p>
        </w:tc>
        <w:tc>
          <w:tcPr>
            <w:tcW w:w="4111" w:type="dxa"/>
          </w:tcPr>
          <w:p w:rsidR="00032E5D" w:rsidRPr="00DF103D" w:rsidRDefault="00032E5D" w:rsidP="00232D2E">
            <w:pPr>
              <w:rPr>
                <w:rFonts w:ascii="Arial" w:hAnsi="Arial" w:cs="Arial"/>
              </w:rPr>
            </w:pPr>
          </w:p>
          <w:p w:rsidR="00DF103D" w:rsidRDefault="00DF103D" w:rsidP="00232D2E">
            <w:pPr>
              <w:rPr>
                <w:rFonts w:ascii="Arial" w:hAnsi="Arial" w:cs="Arial"/>
              </w:rPr>
            </w:pPr>
          </w:p>
          <w:p w:rsidR="00BF0C6A" w:rsidRPr="00DF103D" w:rsidRDefault="00BF0C6A" w:rsidP="00232D2E">
            <w:pPr>
              <w:rPr>
                <w:rFonts w:ascii="Arial" w:hAnsi="Arial" w:cs="Arial"/>
              </w:rPr>
            </w:pPr>
            <w:r w:rsidRPr="00DF103D">
              <w:rPr>
                <w:rFonts w:ascii="Arial" w:hAnsi="Arial" w:cs="Arial"/>
              </w:rPr>
              <w:t xml:space="preserve">Pratik </w:t>
            </w:r>
            <w:proofErr w:type="spellStart"/>
            <w:r w:rsidRPr="00DF103D">
              <w:rPr>
                <w:rFonts w:ascii="Arial" w:hAnsi="Arial" w:cs="Arial"/>
              </w:rPr>
              <w:t>Choudary</w:t>
            </w:r>
            <w:proofErr w:type="spellEnd"/>
          </w:p>
          <w:p w:rsidR="00BF0C6A" w:rsidRPr="00DF103D" w:rsidRDefault="00087066" w:rsidP="00232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Mary </w:t>
            </w:r>
            <w:proofErr w:type="spellStart"/>
            <w:r>
              <w:rPr>
                <w:rFonts w:ascii="Arial" w:hAnsi="Arial" w:cs="Arial"/>
              </w:rPr>
              <w:t>Bil</w:t>
            </w:r>
            <w:r w:rsidR="00BF0C6A" w:rsidRPr="00DF103D">
              <w:rPr>
                <w:rFonts w:ascii="Arial" w:hAnsi="Arial" w:cs="Arial"/>
              </w:rPr>
              <w:t>ous</w:t>
            </w:r>
            <w:proofErr w:type="spellEnd"/>
            <w:r w:rsidR="00A575F2">
              <w:rPr>
                <w:rFonts w:ascii="Arial" w:hAnsi="Arial" w:cs="Arial"/>
              </w:rPr>
              <w:t xml:space="preserve"> </w:t>
            </w:r>
          </w:p>
          <w:p w:rsidR="00BF0C6A" w:rsidRPr="00DF103D" w:rsidRDefault="00BF0C6A" w:rsidP="00232D2E">
            <w:pPr>
              <w:rPr>
                <w:rFonts w:ascii="Arial" w:hAnsi="Arial" w:cs="Arial"/>
              </w:rPr>
            </w:pPr>
            <w:r w:rsidRPr="00DF103D">
              <w:rPr>
                <w:rFonts w:ascii="Arial" w:hAnsi="Arial" w:cs="Arial"/>
              </w:rPr>
              <w:t xml:space="preserve">Ian </w:t>
            </w:r>
            <w:proofErr w:type="spellStart"/>
            <w:r w:rsidRPr="00DF103D">
              <w:rPr>
                <w:rFonts w:ascii="Arial" w:hAnsi="Arial" w:cs="Arial"/>
              </w:rPr>
              <w:t>Gallen</w:t>
            </w:r>
            <w:proofErr w:type="spellEnd"/>
          </w:p>
          <w:p w:rsidR="00BF0C6A" w:rsidRPr="00DF103D" w:rsidRDefault="00BF0C6A" w:rsidP="00232D2E">
            <w:pPr>
              <w:rPr>
                <w:rFonts w:ascii="Arial" w:hAnsi="Arial" w:cs="Arial"/>
              </w:rPr>
            </w:pPr>
            <w:r w:rsidRPr="00DF103D">
              <w:rPr>
                <w:rFonts w:ascii="Arial" w:hAnsi="Arial" w:cs="Arial"/>
              </w:rPr>
              <w:t>Chris Garrett</w:t>
            </w:r>
          </w:p>
        </w:tc>
      </w:tr>
      <w:tr w:rsidR="00BF0C6A" w:rsidRPr="00514D0C" w:rsidTr="002B4A2F">
        <w:tc>
          <w:tcPr>
            <w:tcW w:w="1543" w:type="dxa"/>
          </w:tcPr>
          <w:p w:rsidR="00DF103D" w:rsidRPr="00514D0C" w:rsidRDefault="00BF0C6A" w:rsidP="00232D2E">
            <w:pPr>
              <w:rPr>
                <w:rFonts w:ascii="Arial" w:hAnsi="Arial" w:cs="Arial"/>
              </w:rPr>
            </w:pPr>
            <w:r w:rsidRPr="00514D0C">
              <w:rPr>
                <w:rFonts w:ascii="Arial" w:hAnsi="Arial" w:cs="Arial"/>
              </w:rPr>
              <w:t>1415-1500</w:t>
            </w:r>
          </w:p>
        </w:tc>
        <w:tc>
          <w:tcPr>
            <w:tcW w:w="3702" w:type="dxa"/>
          </w:tcPr>
          <w:p w:rsidR="00BF0C6A" w:rsidRPr="00DF103D" w:rsidRDefault="00BF0C6A" w:rsidP="00232D2E">
            <w:pPr>
              <w:rPr>
                <w:rFonts w:ascii="Arial" w:hAnsi="Arial" w:cs="Arial"/>
                <w:b/>
              </w:rPr>
            </w:pPr>
            <w:r w:rsidRPr="00BF0C6A">
              <w:rPr>
                <w:rFonts w:ascii="Arial" w:hAnsi="Arial" w:cs="Arial"/>
                <w:b/>
              </w:rPr>
              <w:t>Workshops</w:t>
            </w:r>
          </w:p>
        </w:tc>
        <w:tc>
          <w:tcPr>
            <w:tcW w:w="4111" w:type="dxa"/>
          </w:tcPr>
          <w:p w:rsidR="00BF0C6A" w:rsidRPr="00514D0C" w:rsidRDefault="00BF0C6A" w:rsidP="00232D2E">
            <w:pPr>
              <w:rPr>
                <w:rFonts w:ascii="Arial" w:hAnsi="Arial" w:cs="Arial"/>
              </w:rPr>
            </w:pPr>
          </w:p>
        </w:tc>
      </w:tr>
      <w:tr w:rsidR="00BF0C6A" w:rsidRPr="00BF0C6A" w:rsidTr="00DF103D">
        <w:trPr>
          <w:gridAfter w:val="2"/>
          <w:wAfter w:w="7813" w:type="dxa"/>
        </w:trPr>
        <w:tc>
          <w:tcPr>
            <w:tcW w:w="1543" w:type="dxa"/>
          </w:tcPr>
          <w:p w:rsidR="00DF103D" w:rsidRDefault="00DF103D" w:rsidP="00232D2E">
            <w:pPr>
              <w:rPr>
                <w:rFonts w:ascii="Arial" w:hAnsi="Arial" w:cs="Arial"/>
                <w:b/>
              </w:rPr>
            </w:pPr>
          </w:p>
          <w:p w:rsidR="00BF0C6A" w:rsidRPr="00032E5D" w:rsidRDefault="00032E5D" w:rsidP="00232D2E">
            <w:pPr>
              <w:rPr>
                <w:rFonts w:ascii="Arial" w:hAnsi="Arial" w:cs="Arial"/>
                <w:b/>
              </w:rPr>
            </w:pPr>
            <w:r w:rsidRPr="00032E5D">
              <w:rPr>
                <w:rFonts w:ascii="Arial" w:hAnsi="Arial" w:cs="Arial"/>
                <w:b/>
              </w:rPr>
              <w:t>B</w:t>
            </w:r>
            <w:r w:rsidR="00232D2E">
              <w:rPr>
                <w:rFonts w:ascii="Arial" w:hAnsi="Arial" w:cs="Arial"/>
                <w:b/>
              </w:rPr>
              <w:t>reak</w:t>
            </w:r>
          </w:p>
        </w:tc>
      </w:tr>
      <w:tr w:rsidR="00BF0C6A" w:rsidRPr="00514D0C" w:rsidTr="002B4A2F">
        <w:tc>
          <w:tcPr>
            <w:tcW w:w="1543" w:type="dxa"/>
          </w:tcPr>
          <w:p w:rsidR="00DF103D" w:rsidRDefault="00DF103D" w:rsidP="00232D2E">
            <w:pPr>
              <w:rPr>
                <w:rFonts w:ascii="Arial" w:hAnsi="Arial" w:cs="Arial"/>
              </w:rPr>
            </w:pPr>
          </w:p>
          <w:p w:rsidR="00BF0C6A" w:rsidRPr="00514D0C" w:rsidRDefault="00BF0C6A" w:rsidP="00232D2E">
            <w:pPr>
              <w:rPr>
                <w:rFonts w:ascii="Arial" w:hAnsi="Arial" w:cs="Arial"/>
              </w:rPr>
            </w:pPr>
            <w:r w:rsidRPr="00514D0C">
              <w:rPr>
                <w:rFonts w:ascii="Arial" w:hAnsi="Arial" w:cs="Arial"/>
              </w:rPr>
              <w:t>1530-1</w:t>
            </w:r>
            <w:r>
              <w:rPr>
                <w:rFonts w:ascii="Arial" w:hAnsi="Arial" w:cs="Arial"/>
              </w:rPr>
              <w:t>640</w:t>
            </w:r>
          </w:p>
        </w:tc>
        <w:tc>
          <w:tcPr>
            <w:tcW w:w="3702" w:type="dxa"/>
          </w:tcPr>
          <w:p w:rsidR="00DF103D" w:rsidRDefault="00DF103D" w:rsidP="00232D2E">
            <w:pPr>
              <w:rPr>
                <w:rFonts w:ascii="Arial" w:hAnsi="Arial" w:cs="Arial"/>
                <w:b/>
              </w:rPr>
            </w:pPr>
          </w:p>
          <w:p w:rsidR="00BF0C6A" w:rsidRPr="00BF0C6A" w:rsidRDefault="00BF0C6A" w:rsidP="00232D2E">
            <w:pPr>
              <w:rPr>
                <w:rFonts w:ascii="Arial" w:hAnsi="Arial" w:cs="Arial"/>
                <w:b/>
              </w:rPr>
            </w:pPr>
            <w:r w:rsidRPr="00BF0C6A">
              <w:rPr>
                <w:rFonts w:ascii="Arial" w:hAnsi="Arial" w:cs="Arial"/>
                <w:b/>
              </w:rPr>
              <w:t>Clinical Conundrums</w:t>
            </w:r>
          </w:p>
          <w:p w:rsidR="00BF0C6A" w:rsidRPr="00DF103D" w:rsidRDefault="002B4A2F" w:rsidP="00232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Scenarios for discussion, e.g.</w:t>
            </w:r>
          </w:p>
          <w:p w:rsidR="00BF0C6A" w:rsidRPr="003F0B07" w:rsidRDefault="00BF0C6A" w:rsidP="00845675">
            <w:pPr>
              <w:rPr>
                <w:rFonts w:ascii="Arial" w:hAnsi="Arial" w:cs="Arial"/>
                <w:sz w:val="20"/>
                <w:szCs w:val="20"/>
              </w:rPr>
            </w:pPr>
            <w:r w:rsidRPr="00DF103D">
              <w:rPr>
                <w:rFonts w:ascii="Arial" w:hAnsi="Arial" w:cs="Arial"/>
                <w:sz w:val="20"/>
                <w:szCs w:val="20"/>
              </w:rPr>
              <w:t>Lost to f/u</w:t>
            </w:r>
            <w:r w:rsidR="00DF103D">
              <w:rPr>
                <w:rFonts w:ascii="Arial" w:hAnsi="Arial" w:cs="Arial"/>
                <w:sz w:val="20"/>
                <w:szCs w:val="20"/>
              </w:rPr>
              <w:t>, d</w:t>
            </w:r>
            <w:r w:rsidRPr="00DF103D">
              <w:rPr>
                <w:rFonts w:ascii="Arial" w:hAnsi="Arial" w:cs="Arial"/>
                <w:sz w:val="20"/>
                <w:szCs w:val="20"/>
              </w:rPr>
              <w:t>isengaged young adult</w:t>
            </w:r>
            <w:r w:rsidR="00DF103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32E5D" w:rsidRPr="00DF103D">
              <w:rPr>
                <w:rFonts w:ascii="Arial" w:hAnsi="Arial" w:cs="Arial"/>
                <w:sz w:val="20"/>
                <w:szCs w:val="20"/>
              </w:rPr>
              <w:t>transition process</w:t>
            </w:r>
            <w:r w:rsidR="00DF103D">
              <w:rPr>
                <w:rFonts w:ascii="Arial" w:hAnsi="Arial" w:cs="Arial"/>
                <w:sz w:val="20"/>
                <w:szCs w:val="20"/>
              </w:rPr>
              <w:t>, out of warranty pu</w:t>
            </w:r>
            <w:r w:rsidR="00232D2E">
              <w:rPr>
                <w:rFonts w:ascii="Arial" w:hAnsi="Arial" w:cs="Arial"/>
                <w:sz w:val="20"/>
                <w:szCs w:val="20"/>
              </w:rPr>
              <w:t xml:space="preserve">mps, </w:t>
            </w:r>
            <w:r w:rsidR="00DF103D">
              <w:rPr>
                <w:rFonts w:ascii="Arial" w:hAnsi="Arial" w:cs="Arial"/>
                <w:sz w:val="20"/>
                <w:szCs w:val="20"/>
              </w:rPr>
              <w:t xml:space="preserve">gastroparesis, </w:t>
            </w:r>
            <w:r w:rsidR="00845675">
              <w:rPr>
                <w:rFonts w:ascii="Arial" w:hAnsi="Arial" w:cs="Arial"/>
                <w:sz w:val="20"/>
                <w:szCs w:val="20"/>
              </w:rPr>
              <w:t>not glucose monitoring</w:t>
            </w:r>
            <w:r w:rsidR="00F95CD0">
              <w:rPr>
                <w:rFonts w:ascii="Arial" w:hAnsi="Arial" w:cs="Arial"/>
                <w:sz w:val="20"/>
                <w:szCs w:val="20"/>
              </w:rPr>
              <w:t>,</w:t>
            </w:r>
            <w:r w:rsidR="00DF1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B07">
              <w:rPr>
                <w:rFonts w:ascii="Arial" w:hAnsi="Arial" w:cs="Arial"/>
                <w:sz w:val="20"/>
                <w:szCs w:val="20"/>
              </w:rPr>
              <w:t>i</w:t>
            </w:r>
            <w:r w:rsidR="00032E5D" w:rsidRPr="003F0B07">
              <w:rPr>
                <w:rFonts w:ascii="Arial" w:hAnsi="Arial" w:cs="Arial"/>
                <w:sz w:val="20"/>
                <w:szCs w:val="20"/>
              </w:rPr>
              <w:t>nterpretation of NICE guidance</w:t>
            </w:r>
            <w:r w:rsidR="00F95C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F0B07" w:rsidRDefault="003F0B07" w:rsidP="00232D2E">
            <w:pPr>
              <w:rPr>
                <w:rFonts w:ascii="Arial" w:hAnsi="Arial" w:cs="Arial"/>
              </w:rPr>
            </w:pPr>
          </w:p>
          <w:p w:rsidR="003F0B07" w:rsidRDefault="003F0B07" w:rsidP="00232D2E">
            <w:pPr>
              <w:rPr>
                <w:rFonts w:ascii="Arial" w:hAnsi="Arial" w:cs="Arial"/>
              </w:rPr>
            </w:pPr>
          </w:p>
          <w:p w:rsidR="00BF0C6A" w:rsidRDefault="00BF0C6A" w:rsidP="00232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Interactive panel discussion</w:t>
            </w:r>
          </w:p>
          <w:p w:rsidR="00BF0C6A" w:rsidRDefault="00BF0C6A" w:rsidP="00232D2E">
            <w:pPr>
              <w:rPr>
                <w:rFonts w:ascii="Arial" w:hAnsi="Arial" w:cs="Arial"/>
              </w:rPr>
            </w:pPr>
          </w:p>
          <w:p w:rsidR="00BF0C6A" w:rsidRPr="00514D0C" w:rsidRDefault="00BF0C6A" w:rsidP="002B4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Audience</w:t>
            </w:r>
            <w:r w:rsidR="002B4A2F">
              <w:rPr>
                <w:rFonts w:ascii="Arial" w:hAnsi="Arial" w:cs="Arial"/>
              </w:rPr>
              <w:t xml:space="preserve"> can vote, </w:t>
            </w:r>
            <w:r w:rsidR="003F0B07">
              <w:rPr>
                <w:rFonts w:ascii="Arial" w:hAnsi="Arial" w:cs="Arial"/>
              </w:rPr>
              <w:t>submit questions</w:t>
            </w:r>
            <w:r>
              <w:rPr>
                <w:rFonts w:ascii="Arial" w:hAnsi="Arial" w:cs="Arial"/>
              </w:rPr>
              <w:t xml:space="preserve"> </w:t>
            </w:r>
            <w:r w:rsidR="002B4A2F">
              <w:rPr>
                <w:rFonts w:ascii="Arial" w:hAnsi="Arial" w:cs="Arial"/>
              </w:rPr>
              <w:t xml:space="preserve">or comments </w:t>
            </w:r>
            <w:r>
              <w:rPr>
                <w:rFonts w:ascii="Arial" w:hAnsi="Arial" w:cs="Arial"/>
              </w:rPr>
              <w:t>vi</w:t>
            </w:r>
            <w:r w:rsidR="002B4A2F">
              <w:rPr>
                <w:rFonts w:ascii="Arial" w:hAnsi="Arial" w:cs="Arial"/>
              </w:rPr>
              <w:t xml:space="preserve">a </w:t>
            </w:r>
            <w:proofErr w:type="spellStart"/>
            <w:r w:rsidR="002B4A2F">
              <w:rPr>
                <w:rFonts w:ascii="Arial" w:hAnsi="Arial" w:cs="Arial"/>
              </w:rPr>
              <w:t>ipad</w:t>
            </w:r>
            <w:proofErr w:type="spellEnd"/>
            <w:r w:rsidR="002B4A2F">
              <w:rPr>
                <w:rFonts w:ascii="Arial" w:hAnsi="Arial" w:cs="Arial"/>
              </w:rPr>
              <w:t xml:space="preserve"> technology</w:t>
            </w:r>
          </w:p>
        </w:tc>
      </w:tr>
      <w:tr w:rsidR="00BF0C6A" w:rsidRPr="00514D0C" w:rsidTr="002B4A2F">
        <w:tc>
          <w:tcPr>
            <w:tcW w:w="1543" w:type="dxa"/>
          </w:tcPr>
          <w:p w:rsidR="00DF103D" w:rsidRDefault="00DF103D" w:rsidP="00232D2E">
            <w:pPr>
              <w:rPr>
                <w:rFonts w:ascii="Arial" w:hAnsi="Arial" w:cs="Arial"/>
              </w:rPr>
            </w:pPr>
          </w:p>
          <w:p w:rsidR="00BF0C6A" w:rsidRPr="00514D0C" w:rsidRDefault="00BF0C6A" w:rsidP="00232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1640-1645</w:t>
            </w:r>
          </w:p>
        </w:tc>
        <w:tc>
          <w:tcPr>
            <w:tcW w:w="3702" w:type="dxa"/>
          </w:tcPr>
          <w:p w:rsidR="00DF103D" w:rsidRDefault="00DF103D" w:rsidP="00232D2E">
            <w:pPr>
              <w:rPr>
                <w:rFonts w:ascii="Arial" w:hAnsi="Arial" w:cs="Arial"/>
                <w:b/>
              </w:rPr>
            </w:pPr>
          </w:p>
          <w:p w:rsidR="00BF0C6A" w:rsidRPr="00BF0C6A" w:rsidRDefault="00BF0C6A" w:rsidP="00232D2E">
            <w:pPr>
              <w:rPr>
                <w:rFonts w:ascii="Arial" w:hAnsi="Arial" w:cs="Arial"/>
                <w:b/>
              </w:rPr>
            </w:pPr>
            <w:r w:rsidRPr="00BF0C6A">
              <w:rPr>
                <w:rFonts w:ascii="Arial" w:hAnsi="Arial" w:cs="Arial"/>
                <w:b/>
              </w:rPr>
              <w:t>Closing comments</w:t>
            </w:r>
          </w:p>
        </w:tc>
        <w:tc>
          <w:tcPr>
            <w:tcW w:w="4111" w:type="dxa"/>
          </w:tcPr>
          <w:p w:rsidR="00BF0C6A" w:rsidRPr="00514D0C" w:rsidRDefault="00BF0C6A" w:rsidP="00232D2E">
            <w:pPr>
              <w:rPr>
                <w:rFonts w:ascii="Arial" w:hAnsi="Arial" w:cs="Arial"/>
              </w:rPr>
            </w:pPr>
          </w:p>
        </w:tc>
      </w:tr>
    </w:tbl>
    <w:p w:rsidR="008A6F4C" w:rsidRDefault="000A6349" w:rsidP="00DF10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429260</wp:posOffset>
                </wp:positionV>
                <wp:extent cx="6751320" cy="13639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349" w:rsidRDefault="007971DE" w:rsidP="0000090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00905">
                              <w:rPr>
                                <w:sz w:val="20"/>
                              </w:rPr>
                              <w:t xml:space="preserve">The ABCD Insulin Pump Network is grateful to  its </w:t>
                            </w:r>
                            <w:r w:rsidR="00FF3A95">
                              <w:rPr>
                                <w:sz w:val="20"/>
                              </w:rPr>
                              <w:t xml:space="preserve"> </w:t>
                            </w:r>
                            <w:r w:rsidRPr="00000905">
                              <w:rPr>
                                <w:sz w:val="20"/>
                              </w:rPr>
                              <w:t xml:space="preserve">corporate supporters for their financial support which supports the activities of the Charity and allows the Association of British Clinical </w:t>
                            </w:r>
                            <w:proofErr w:type="spellStart"/>
                            <w:r w:rsidRPr="00000905">
                              <w:rPr>
                                <w:sz w:val="20"/>
                              </w:rPr>
                              <w:t>Diabetologists</w:t>
                            </w:r>
                            <w:proofErr w:type="spellEnd"/>
                            <w:r w:rsidRPr="00000905">
                              <w:rPr>
                                <w:sz w:val="20"/>
                              </w:rPr>
                              <w:t xml:space="preserve"> to make its services either freely available or at greatly reduced rates to its members.</w:t>
                            </w:r>
                          </w:p>
                          <w:p w:rsidR="00FF3A95" w:rsidRPr="00000905" w:rsidRDefault="00FF3A95" w:rsidP="00FF3A9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bookmarkStart w:id="0" w:name="_GoBack"/>
                            <w:r w:rsidRPr="00FF3A95">
                              <w:rPr>
                                <w:b/>
                                <w:sz w:val="20"/>
                              </w:rPr>
                              <w:t>Gold</w:t>
                            </w:r>
                            <w:r w:rsidRPr="00FF3A95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Pr="00FF3A95">
                              <w:rPr>
                                <w:sz w:val="20"/>
                              </w:rPr>
                              <w:t>CellNovo</w:t>
                            </w:r>
                            <w:proofErr w:type="spellEnd"/>
                            <w:r w:rsidRPr="00FF3A95">
                              <w:rPr>
                                <w:sz w:val="20"/>
                              </w:rPr>
                              <w:t xml:space="preserve">, Roche, </w:t>
                            </w:r>
                            <w:proofErr w:type="spellStart"/>
                            <w:r w:rsidRPr="00FF3A95">
                              <w:rPr>
                                <w:sz w:val="20"/>
                              </w:rPr>
                              <w:t>Diasend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FF3A95">
                              <w:rPr>
                                <w:b/>
                                <w:sz w:val="20"/>
                              </w:rPr>
                              <w:t>Silver</w:t>
                            </w:r>
                            <w:r w:rsidRPr="00FF3A95">
                              <w:rPr>
                                <w:sz w:val="20"/>
                              </w:rPr>
                              <w:t>: Abbott, Medtronic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4pt;margin-top:33.8pt;width:531.6pt;height:10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" fillcolor="white [3201]" stroked="f" strokeweight=".5pt">
                <v:textbox>
                  <w:txbxContent>
                    <w:p w:rsidR="000A6349" w:rsidRDefault="007971DE" w:rsidP="00000905">
                      <w:pPr>
                        <w:jc w:val="center"/>
                        <w:rPr>
                          <w:sz w:val="20"/>
                        </w:rPr>
                      </w:pPr>
                      <w:r w:rsidRPr="00000905">
                        <w:rPr>
                          <w:sz w:val="20"/>
                        </w:rPr>
                        <w:t xml:space="preserve">The ABCD Insulin Pump Network is grateful to  its </w:t>
                      </w:r>
                      <w:r w:rsidR="00FF3A95">
                        <w:rPr>
                          <w:sz w:val="20"/>
                        </w:rPr>
                        <w:t xml:space="preserve"> </w:t>
                      </w:r>
                      <w:r w:rsidRPr="00000905">
                        <w:rPr>
                          <w:sz w:val="20"/>
                        </w:rPr>
                        <w:t xml:space="preserve">corporate supporters for their financial support which supports the activities of the Charity and allows the Association of British Clinical </w:t>
                      </w:r>
                      <w:proofErr w:type="spellStart"/>
                      <w:r w:rsidRPr="00000905">
                        <w:rPr>
                          <w:sz w:val="20"/>
                        </w:rPr>
                        <w:t>Diabetologists</w:t>
                      </w:r>
                      <w:proofErr w:type="spellEnd"/>
                      <w:r w:rsidRPr="00000905">
                        <w:rPr>
                          <w:sz w:val="20"/>
                        </w:rPr>
                        <w:t xml:space="preserve"> to make its services either freely available or at greatly reduced rates to its members.</w:t>
                      </w:r>
                    </w:p>
                    <w:p w:rsidR="00FF3A95" w:rsidRPr="00000905" w:rsidRDefault="00FF3A95" w:rsidP="00FF3A95">
                      <w:pPr>
                        <w:jc w:val="center"/>
                        <w:rPr>
                          <w:sz w:val="20"/>
                        </w:rPr>
                      </w:pPr>
                      <w:bookmarkStart w:id="1" w:name="_GoBack"/>
                      <w:r w:rsidRPr="00FF3A95">
                        <w:rPr>
                          <w:b/>
                          <w:sz w:val="20"/>
                        </w:rPr>
                        <w:t>Gold</w:t>
                      </w:r>
                      <w:r w:rsidRPr="00FF3A95"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 w:rsidRPr="00FF3A95">
                        <w:rPr>
                          <w:sz w:val="20"/>
                        </w:rPr>
                        <w:t>CellNovo</w:t>
                      </w:r>
                      <w:proofErr w:type="spellEnd"/>
                      <w:r w:rsidRPr="00FF3A95">
                        <w:rPr>
                          <w:sz w:val="20"/>
                        </w:rPr>
                        <w:t xml:space="preserve">, Roche, </w:t>
                      </w:r>
                      <w:proofErr w:type="spellStart"/>
                      <w:r w:rsidRPr="00FF3A95">
                        <w:rPr>
                          <w:sz w:val="20"/>
                        </w:rPr>
                        <w:t>Diasend</w:t>
                      </w:r>
                      <w:proofErr w:type="spellEnd"/>
                      <w:r>
                        <w:rPr>
                          <w:sz w:val="20"/>
                        </w:rPr>
                        <w:br/>
                      </w:r>
                      <w:r w:rsidRPr="00FF3A95">
                        <w:rPr>
                          <w:b/>
                          <w:sz w:val="20"/>
                        </w:rPr>
                        <w:t>Silver</w:t>
                      </w:r>
                      <w:r w:rsidRPr="00FF3A95">
                        <w:rPr>
                          <w:sz w:val="20"/>
                        </w:rPr>
                        <w:t>: Abbott, Medtronic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A6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7F7"/>
    <w:multiLevelType w:val="hybridMultilevel"/>
    <w:tmpl w:val="E3086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66DD0"/>
    <w:multiLevelType w:val="hybridMultilevel"/>
    <w:tmpl w:val="111EF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A80912"/>
    <w:multiLevelType w:val="hybridMultilevel"/>
    <w:tmpl w:val="6EBCA67C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4C"/>
    <w:rsid w:val="00000905"/>
    <w:rsid w:val="00032E5D"/>
    <w:rsid w:val="00080CC3"/>
    <w:rsid w:val="00087066"/>
    <w:rsid w:val="000A6349"/>
    <w:rsid w:val="00111BA4"/>
    <w:rsid w:val="001D72B8"/>
    <w:rsid w:val="00232D2E"/>
    <w:rsid w:val="002B4A2F"/>
    <w:rsid w:val="003976E4"/>
    <w:rsid w:val="003C26AC"/>
    <w:rsid w:val="003F0B07"/>
    <w:rsid w:val="004D04A0"/>
    <w:rsid w:val="00514D0C"/>
    <w:rsid w:val="0056350F"/>
    <w:rsid w:val="006E6C4A"/>
    <w:rsid w:val="006F0AD6"/>
    <w:rsid w:val="007971DE"/>
    <w:rsid w:val="007C4163"/>
    <w:rsid w:val="00845675"/>
    <w:rsid w:val="008A6F4C"/>
    <w:rsid w:val="008F52D3"/>
    <w:rsid w:val="0093370F"/>
    <w:rsid w:val="00963D1C"/>
    <w:rsid w:val="00A575F2"/>
    <w:rsid w:val="00A632D0"/>
    <w:rsid w:val="00A75197"/>
    <w:rsid w:val="00BF0C6A"/>
    <w:rsid w:val="00C31E90"/>
    <w:rsid w:val="00C6746B"/>
    <w:rsid w:val="00C707FA"/>
    <w:rsid w:val="00DB4801"/>
    <w:rsid w:val="00DF103D"/>
    <w:rsid w:val="00F02C24"/>
    <w:rsid w:val="00F27F31"/>
    <w:rsid w:val="00F346E5"/>
    <w:rsid w:val="00F95CD0"/>
    <w:rsid w:val="00FF2088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F4C"/>
    <w:pPr>
      <w:ind w:left="720"/>
      <w:contextualSpacing/>
    </w:pPr>
  </w:style>
  <w:style w:type="table" w:styleId="TableGrid">
    <w:name w:val="Table Grid"/>
    <w:basedOn w:val="TableNormal"/>
    <w:uiPriority w:val="59"/>
    <w:rsid w:val="008A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F4C"/>
    <w:pPr>
      <w:ind w:left="720"/>
      <w:contextualSpacing/>
    </w:pPr>
  </w:style>
  <w:style w:type="table" w:styleId="TableGrid">
    <w:name w:val="Table Grid"/>
    <w:basedOn w:val="TableNormal"/>
    <w:uiPriority w:val="59"/>
    <w:rsid w:val="008A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Choudhary, Pratik</dc:creator>
  <cp:lastModifiedBy>Tricia Bryant</cp:lastModifiedBy>
  <cp:revision>2</cp:revision>
  <cp:lastPrinted>2015-10-22T18:30:00Z</cp:lastPrinted>
  <dcterms:created xsi:type="dcterms:W3CDTF">2016-02-03T10:42:00Z</dcterms:created>
  <dcterms:modified xsi:type="dcterms:W3CDTF">2016-02-03T10:42:00Z</dcterms:modified>
</cp:coreProperties>
</file>